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824D4" w14:textId="77777777" w:rsidR="00D966A4" w:rsidRDefault="00721DE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Затверджено:</w:t>
      </w:r>
    </w:p>
    <w:p w14:paraId="5C39A96A" w14:textId="77777777" w:rsidR="00D966A4" w:rsidRDefault="00721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Начальник сільської</w:t>
      </w:r>
    </w:p>
    <w:p w14:paraId="2B251D87" w14:textId="77777777" w:rsidR="00D966A4" w:rsidRDefault="00721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військової адміністрації                                                      І.М.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Підгородецький</w:t>
      </w:r>
      <w:proofErr w:type="spellEnd"/>
    </w:p>
    <w:p w14:paraId="49EA8B99" w14:textId="77777777" w:rsidR="00D966A4" w:rsidRDefault="00D966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</w:pPr>
    </w:p>
    <w:p w14:paraId="45FA5854" w14:textId="77777777" w:rsidR="00D966A4" w:rsidRDefault="00D966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</w:pPr>
    </w:p>
    <w:p w14:paraId="301B7000" w14:textId="77777777" w:rsidR="00D966A4" w:rsidRDefault="00D966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</w:pPr>
    </w:p>
    <w:p w14:paraId="27A46F8A" w14:textId="77777777" w:rsidR="00D966A4" w:rsidRDefault="00721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 xml:space="preserve"> ПОЛОЖЕННЯ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Раду з питань внутрішньо переміщених осіб</w:t>
      </w:r>
    </w:p>
    <w:p w14:paraId="6A57DC2B" w14:textId="77777777" w:rsidR="00D966A4" w:rsidRDefault="00721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 xml:space="preserve">при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Музиківській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 xml:space="preserve"> сільській раді</w:t>
      </w:r>
    </w:p>
    <w:p w14:paraId="47A6520F" w14:textId="77777777" w:rsidR="00D966A4" w:rsidRDefault="00D966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52A6EDA1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12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1. Рада з питань внутрішньо переміщених осіб при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Музиківській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сільській раді є консультативно-дорадчим органом при сільській  військовій адміністрації, який утворюється на підставі розпорядження начальника військової адміністрації) для участі у реалізації регіональної політики у сфері забезпечення та захисту прав та інтересів внутрішньо переміщених осіб, сприяння діяльності територіальних громад у розвитку ефективних механізмів їх адаптації та інтеграції.</w:t>
      </w:r>
    </w:p>
    <w:p w14:paraId="68F70DB5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13"/>
      <w:bookmarkEnd w:id="1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 Рада у своїй діяльності керується </w:t>
      </w:r>
      <w:hyperlink r:id="rId4" w:tgtFrame="_blank">
        <w:r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Конституцією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і законами України, указами Президента України, постановами Верховної Ради України, актами Кабінету Міністрів України,  розпорядженнями начальника військової адміністрації, Положенням про неї та іншими актами законодавства.</w:t>
      </w:r>
    </w:p>
    <w:p w14:paraId="68D5B8E2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14"/>
      <w:bookmarkEnd w:id="2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3. Діяльність Ради ґрунтується на принципах верховенства права, законності, гласності, прозорості, колегіальності, гендерної рівності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інклюзивності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14:paraId="6A22B806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" w:name="n15"/>
      <w:bookmarkEnd w:id="3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4. Основними завданнями Ради є:</w:t>
      </w:r>
    </w:p>
    <w:p w14:paraId="50FABD08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" w:name="n16"/>
      <w:bookmarkEnd w:id="4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сприяння в реалізації громадянських і політичних прав внутрішньо переміщених осіб, залучення їх до процесу розроблення нормативних актів та контролю за їх виконанням;</w:t>
      </w:r>
    </w:p>
    <w:p w14:paraId="3E32C99A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" w:name="n17"/>
      <w:bookmarkEnd w:id="5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сприяння забезпеченню і захисту прав та інтересів внутрішньо переміщених осіб з питань соціального захисту, забезпечення житлом та зайнятості, психосоціальної, медичної та правової допомоги та з інших питань;</w:t>
      </w:r>
    </w:p>
    <w:p w14:paraId="3D6CEFCA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" w:name="n18"/>
      <w:bookmarkEnd w:id="6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сприяння діяльності територіальних громад у розвитку ефективних механізмів адаптації та інтеграції внутрішньо переміщених осіб;</w:t>
      </w:r>
    </w:p>
    <w:p w14:paraId="1737DFDE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" w:name="n19"/>
      <w:bookmarkEnd w:id="7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організаційна, методична та консультативна підтримка суб’єктів господарювання, які в установленому законодавством порядку перемістили свої виробничі потужності та активи;</w:t>
      </w:r>
    </w:p>
    <w:p w14:paraId="55940610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" w:name="n20"/>
      <w:bookmarkEnd w:id="8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сприяння залученню внутрішньо переміщених осіб до вирішення питань місцевого значення, зокрема шляхом їх залучення до участі в робочих групах, комісіях, інших консультативно-дорадчих органах з метою розроблення місцевих програм у сфері захисту прав та інтересів внутрішньо переміщених осіб, соціального захисту, зайнятості населення, забезпечення житлових та майнових прав;</w:t>
      </w:r>
    </w:p>
    <w:p w14:paraId="2AB9796B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9" w:name="n21"/>
      <w:bookmarkEnd w:id="9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сприяння залученню вітчизняних та іноземних інвесторів, громадських та міжнародних об’єднань для розвитку інфраструктури та можливостей територіальних громад;</w:t>
      </w:r>
    </w:p>
    <w:p w14:paraId="2873BD0A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0" w:name="n22"/>
      <w:bookmarkEnd w:id="1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подання пропозицій та рекомендацій щодо розвитку державно-приватного партнерства для вирішення питань адаптації та інтеграції внутрішньо переміщених осіб в територіальних громадах;</w:t>
      </w:r>
    </w:p>
    <w:p w14:paraId="7B27E0D3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1" w:name="n23"/>
      <w:bookmarkEnd w:id="11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подання пропозицій щодо прийняття нових та внесення змін до діючих нормативно-правових актів у сфері захисту прав та інтересів внутрішньо переміщених осіб;</w:t>
      </w:r>
    </w:p>
    <w:p w14:paraId="43E907B2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2" w:name="n24"/>
      <w:bookmarkEnd w:id="12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вивчення стану виконання законів та інших нормативно-правових актів у сфері захисту прав та інтересів внутрішньо переміщених осіб та подання пропозицій з метою забезпечення їх реалізації;</w:t>
      </w:r>
    </w:p>
    <w:p w14:paraId="5DD91A0B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3" w:name="n25"/>
      <w:bookmarkEnd w:id="13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налагодження співпраці з місцевими органами виконавчої влади, органами місцевого самоврядування, підприємствами, установами, організаціями незалежно від форми власності, представниками громадських об’єднань, міжнародних і наукових організацій, засобів масової інформації, інших інститутів громадянського суспільства, фізичними та юридичними особами з питань захисту прав та інтересів внутрішньо переміщених осіб;</w:t>
      </w:r>
    </w:p>
    <w:p w14:paraId="6CC904CA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4" w:name="n26"/>
      <w:bookmarkEnd w:id="14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проведення моніторингу стану виконання місцевими органами виконавчої влади повноважень у сфері забезпечення та захисту прав та інтересів внутрішньо переміщених осіб;</w:t>
      </w:r>
    </w:p>
    <w:p w14:paraId="76C9AFB1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5" w:name="n27"/>
      <w:bookmarkEnd w:id="15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сприяння в застосуванні принципів гендерної рівності у процесі реалізації політик на регіональному та місцевому рівні для розвитку соціальної згуртованості, зменшення напруги та ризиків виникнення конфліктів між територіальною громадою та внутрішньо переміщеними особами.</w:t>
      </w:r>
    </w:p>
    <w:p w14:paraId="32661250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6" w:name="n28"/>
      <w:bookmarkEnd w:id="16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5. Рада відповідно до покладених на неї завдань:</w:t>
      </w:r>
    </w:p>
    <w:p w14:paraId="10D94807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7" w:name="n29"/>
      <w:bookmarkEnd w:id="17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розглядає питання щодо захисту прав та інтересів внутрішньо переміщених осіб;</w:t>
      </w:r>
    </w:p>
    <w:p w14:paraId="7AACFA86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8" w:name="n30"/>
      <w:bookmarkEnd w:id="18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розробляє та пропонує до розгляду відповідним органам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проекти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місцевих програм підтримки суб’єктів господарювання, які в установленому законодавством порядку перемістили свої виробничі потужності та активи;</w:t>
      </w:r>
    </w:p>
    <w:p w14:paraId="5913D98B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9" w:name="n31"/>
      <w:bookmarkEnd w:id="19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не рідше ніж один раз на рік готує та подає військовій адміністрації план своєї діяльності, пропозиції та рекомендації у сфері забезпечення та захисту прав та інтересів внутрішньо переміщених осіб, які оприлюднюються на офіційному веб-сайті сільської ради та/або в інший прийнятний спосіб;</w:t>
      </w:r>
    </w:p>
    <w:p w14:paraId="698D94DE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0" w:name="n32"/>
      <w:bookmarkEnd w:id="2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проводить аналіз ефективності реалізації місцевої політики у сфері захисту прав та інтересів внутрішньо переміщених осіб;</w:t>
      </w:r>
    </w:p>
    <w:p w14:paraId="7794EDA6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1" w:name="n33"/>
      <w:bookmarkEnd w:id="21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сприяє правовій поінформованості внутрішньо переміщених осіб та проведенню інформаційних кампаній, спрямованих на роз’яснення ключових питань, пов’язаних з підтримкою внутрішньо переміщених осіб з боку держави та територіальних громад;</w:t>
      </w:r>
    </w:p>
    <w:p w14:paraId="276DF3D0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2" w:name="n34"/>
      <w:bookmarkEnd w:id="22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готує та подає відповідним органам для розгляду пропозиції та рекомендації у сфері забезпечення та захисту прав та інтересів внутрішньо переміщених осіб;</w:t>
      </w:r>
    </w:p>
    <w:p w14:paraId="402F4BCD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3" w:name="n35"/>
      <w:bookmarkEnd w:id="23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інформує громадськість про свою діяльність, ухвалені пропозиції, рекомендації та стан їх виконання;</w:t>
      </w:r>
    </w:p>
    <w:p w14:paraId="717BDE1F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4" w:name="n36"/>
      <w:bookmarkEnd w:id="24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співпрацює органами місцевого самоврядування, громадськими об’єднаннями, підприємствами, установами та організаціями незалежно від форми власності, міжнародними та національними об’єднаннями, представництвами в Україні міжнародних гуманітарних організацій, благодійними організаціями, організаціями та установами, що залучають до своєї діяльності волонтерів, волонтерами, фізичними та юридичними особами тощо;</w:t>
      </w:r>
    </w:p>
    <w:p w14:paraId="3805459F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5" w:name="n37"/>
      <w:bookmarkEnd w:id="25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сприяє залученню коштів на підтримку та розвиток територіальних громад;</w:t>
      </w:r>
    </w:p>
    <w:p w14:paraId="3D4CB011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6" w:name="n38"/>
      <w:bookmarkEnd w:id="26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надає організаційну, методичну та консультативну підтримку у розробленні місцевих та регіональних програм у бюджетній сфері та щодо забезпечення житлом внутрішньо переміщених осіб;</w:t>
      </w:r>
    </w:p>
    <w:p w14:paraId="420B44B5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7" w:name="n39"/>
      <w:bookmarkEnd w:id="27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підтримує та організовує заходи, спрямовані на виконання завдань Ради (семінари, конференції, засідання тощо).</w:t>
      </w:r>
    </w:p>
    <w:p w14:paraId="4557A700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8" w:name="n40"/>
      <w:bookmarkEnd w:id="28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6. Рада має право:</w:t>
      </w:r>
    </w:p>
    <w:p w14:paraId="4EAE7D45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9" w:name="n41"/>
      <w:bookmarkEnd w:id="29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отримувати в установленому порядку від місцевих органів виконавчої влади, органів місцевого самоврядування, підприємств, установ та організацій незалежно від форми власності інформацію та документи, необхідні для виконання покладених на Раду завдань;</w:t>
      </w:r>
    </w:p>
    <w:p w14:paraId="1708AAD8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0" w:name="n42"/>
      <w:bookmarkEnd w:id="3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залучати представників органів місцевого самоврядування, підприємств, установ, організацій незалежно від форми власності (за погодженням з їх керівниками), а також незалежних експертів (за згодою) до розгляду питань, що належать до компетенції Ради;</w:t>
      </w:r>
    </w:p>
    <w:p w14:paraId="428ECDBA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1" w:name="n43"/>
      <w:bookmarkEnd w:id="31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подавати відповідним органам пропозиції та рекомендації у сфері захисту прав та інтересів внутрішньо переміщених осіб;</w:t>
      </w:r>
    </w:p>
    <w:p w14:paraId="7B772751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2" w:name="n44"/>
      <w:bookmarkEnd w:id="32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розглядати звернення внутрішньо переміщених осіб та пропозиції громадських об’єднань з питань, що належать до її компетенції;</w:t>
      </w:r>
    </w:p>
    <w:p w14:paraId="252C4AF5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3" w:name="n45"/>
      <w:bookmarkEnd w:id="33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співпрацювати з іншими радами з питань внутрішньо переміщених осіб;</w:t>
      </w:r>
    </w:p>
    <w:p w14:paraId="2F446EA6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4" w:name="n46"/>
      <w:bookmarkEnd w:id="34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ініціювати проведення та брати участь у конференціях, семінарах, нарадах з питань захисту прав та інтересів внутрішньо переміщених осіб;</w:t>
      </w:r>
    </w:p>
    <w:p w14:paraId="6F55A161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5" w:name="n47"/>
      <w:bookmarkEnd w:id="35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утворювати для виконання покладених на Раду завдань робочі групи, комісії.</w:t>
      </w:r>
    </w:p>
    <w:p w14:paraId="431D0697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6" w:name="n48"/>
      <w:bookmarkEnd w:id="36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7.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 xml:space="preserve">Склад Ради утворюється у кількості до 30 осіб, з яких чисельність представників органу, при якому утворено Раду, становить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uk-UA"/>
        </w:rPr>
        <w:t>шість ос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і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uk-UA"/>
        </w:rPr>
        <w:t>б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 xml:space="preserve">, внутрішньо переміщених осіб -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uk-UA"/>
        </w:rPr>
        <w:t>дев’ять осіб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 xml:space="preserve"> та представників громадських об’єднань, які провадять діяльність у сфері забезпечення та захисту прав внутрішньо переміщених осіб, -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uk-UA"/>
        </w:rPr>
        <w:t>три особи.</w:t>
      </w:r>
    </w:p>
    <w:p w14:paraId="4B92AE8A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7" w:name="n49"/>
      <w:bookmarkEnd w:id="37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До складу Ради, утвореної при  сільській військовій адміністрації, входять за посадою працівники структурних підрозділів з питань соціального захисту населення, служби у справах дітей, охорони здоров’я, освіти і науки, житлово-комунального господарства, економічного розвитку.</w:t>
      </w:r>
      <w:bookmarkStart w:id="38" w:name="n50"/>
      <w:bookmarkEnd w:id="38"/>
    </w:p>
    <w:p w14:paraId="553EBC3F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9" w:name="n51"/>
      <w:bookmarkEnd w:id="39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До складу Ради входять внутрішньо переміщені особи, місцем фактичного проживання яких згідно з довідкою про взяття на облік внутрішньо переміщеної особи є адміністративно-територіальна одиниця, яка є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останнього задекларованого/зареєстрованого місця проживання внутрішньо переміщеної особи, на юрисдикцію якої поширюються повноваження органу, при якому утворено Раду, в тому числі які є представниками суб’єктів господарювання, які в установленому законодавством порядку перемістили свої виробничі потужності та активи.</w:t>
      </w:r>
    </w:p>
    <w:p w14:paraId="62C8AE1A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0" w:name="n52"/>
      <w:bookmarkEnd w:id="4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До складу Ради входять по одному представнику від громадських об’єднань, в статуті яких визначено, що їх діяльність спрямована на забезпечення та захист прав внутрішньо переміщених осіб і реалізацію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проектів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у межах адміністративно-територіальної одиниці, на юрисдикцію якої поширюються повноваження органу, при якому утворено Раду.</w:t>
      </w:r>
    </w:p>
    <w:p w14:paraId="47CC06E4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1" w:name="n53"/>
      <w:bookmarkEnd w:id="41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8. Персональний склад Ради затверджується розпорядженням   начальника сільської військової адміністрації з числа осіб, які відповідають вимогам до членів Ради та виявили бажання брати участь у діяльності Ради.</w:t>
      </w:r>
    </w:p>
    <w:p w14:paraId="793144CC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2" w:name="n54"/>
      <w:bookmarkEnd w:id="42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Відбір членів Ради здійснюється на підставі поданих до сільської  військової адміністрації внутрішньо переміщеними особами та представниками громадських об’єднань документів в електронній та/або паперовій формі, а саме:</w:t>
      </w:r>
    </w:p>
    <w:p w14:paraId="72293C7E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3" w:name="n55"/>
      <w:bookmarkEnd w:id="43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заяви у довільній формі;</w:t>
      </w:r>
    </w:p>
    <w:p w14:paraId="3302ADAD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4" w:name="n56"/>
      <w:bookmarkEnd w:id="44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документа, що посвідчує особу та підтверджує громадянство України, або відображення в електронній формі інформації, що міститься у документах, що посвідчують особу та підтверджують громадянство України, сформованих засобами Єдиного державного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вебпорталу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електронних послуг, зокрема з використанням мобільного додатка Порталу Дія (Дія) або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єДокумент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;</w:t>
      </w:r>
    </w:p>
    <w:p w14:paraId="08CDA217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5" w:name="n57"/>
      <w:bookmarkEnd w:id="45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документа про освіту (за наявності);</w:t>
      </w:r>
      <w:bookmarkStart w:id="46" w:name="n58"/>
      <w:bookmarkEnd w:id="46"/>
    </w:p>
    <w:p w14:paraId="53CFF078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7" w:name="n59"/>
      <w:bookmarkEnd w:id="47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відомостей про контактний номер телефону та адресу електронної пошти кандидата (за наявності);</w:t>
      </w:r>
    </w:p>
    <w:p w14:paraId="6B491A8F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8" w:name="n60"/>
      <w:bookmarkEnd w:id="48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довідки про взяття на облік внутрішньо переміщеної особи або електронної довідки, яка підтверджує факт внутрішнього переміщення і взяття на облік такої особи, на електронному носії, критерії якого підтримують використання мобільного додатка Порталу Дія (Дія) (за наявності технічної можливості),  </w:t>
      </w:r>
    </w:p>
    <w:p w14:paraId="6E8CE086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9" w:name="n61"/>
      <w:bookmarkEnd w:id="49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військова адміністрація оприлюднює на своєму офіційному веб-сайті та/або в інший прийнятний спосіб не пізніше ніж за 15 календарних днів до затвердження персонального складу Ради повідомлення про формування складу Ради</w:t>
      </w:r>
      <w:bookmarkStart w:id="50" w:name="n63"/>
      <w:bookmarkStart w:id="51" w:name="n62"/>
      <w:bookmarkEnd w:id="50"/>
      <w:bookmarkEnd w:id="51"/>
    </w:p>
    <w:p w14:paraId="2D8E6932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2" w:name="n64"/>
      <w:bookmarkEnd w:id="52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Основними критеріями відбору кандидатів у члени Ради, які оцінює орган, при якому утворено Раду, є бажання працювати на громадських засадах, активна участь у громадській діяльності, відповідність високим стандартам доброчесності, відсутність конфлікту інтересів, наявність особистих досягнень або реалізованих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проектів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у сфері захисту внутрішньо переміщених осіб, наявність конкретних пропозицій щодо особистого вкладу в реалізацію мети та завдань Ради.</w:t>
      </w:r>
    </w:p>
    <w:p w14:paraId="4B666806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3" w:name="n65"/>
      <w:bookmarkEnd w:id="53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Зміни до складу Ради вносяться розпорядженням начальника військової адміністрації за поданням голови Ради.</w:t>
      </w:r>
    </w:p>
    <w:p w14:paraId="32B1853F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4" w:name="n66"/>
      <w:bookmarkEnd w:id="54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Дострокове припинення повноважень члена Ради є підставою для внесення змін до складу Ради.</w:t>
      </w:r>
    </w:p>
    <w:p w14:paraId="5F519E46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5" w:name="n67"/>
      <w:bookmarkEnd w:id="55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9. Діяльність Ради може бути припинена достроково на підставі розпорядження начальника військової адміністрації в разі:</w:t>
      </w:r>
    </w:p>
    <w:p w14:paraId="5931BBD8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6" w:name="n68"/>
      <w:bookmarkEnd w:id="56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1) якщо засідання Ради не проводяться протягом двох кварталів поспіль;</w:t>
      </w:r>
    </w:p>
    <w:p w14:paraId="64003432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7" w:name="n69"/>
      <w:bookmarkEnd w:id="57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2) якщо за підсумками відповідного року діяльності Ради встановлено факт невиконання нею без поважних причин більше 60 відсотків заходів, передбачених річним планом її роботи;</w:t>
      </w:r>
    </w:p>
    <w:p w14:paraId="76DF3D20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8" w:name="n70"/>
      <w:bookmarkEnd w:id="58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3) ухвалення відповідного рішення на її засіданні;</w:t>
      </w:r>
    </w:p>
    <w:p w14:paraId="6D38E218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9" w:name="n71"/>
      <w:bookmarkEnd w:id="59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4) реорганізації органу, при якому утворено Раду.</w:t>
      </w:r>
    </w:p>
    <w:p w14:paraId="3A469B18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0" w:name="n72"/>
      <w:bookmarkEnd w:id="6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10. Склад Ради затверджується строком на два роки. Особа може бути призначена членом Ради не більше ніж на два строки повноважень поспіль.</w:t>
      </w:r>
    </w:p>
    <w:p w14:paraId="41B8C29B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1" w:name="n73"/>
      <w:bookmarkEnd w:id="61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11. Раду очолює голова, який обирається її членами з числа внутрішньо переміщених осіб, які входять до складу Ради. Голова Ради має заступника.</w:t>
      </w:r>
    </w:p>
    <w:p w14:paraId="680E9ACF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2" w:name="n74"/>
      <w:bookmarkEnd w:id="62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Повноваження голови Ради припиняються за рішенням Ради у разі подання ним відповідної заяви, припинення його членства у Раді або висловлення йому недовіри Радою.</w:t>
      </w:r>
    </w:p>
    <w:p w14:paraId="1355E3A0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3" w:name="n75"/>
      <w:bookmarkEnd w:id="63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 разі припинення повноважень голови Ради до обрання нового голови його обов’язки виконує заступник голови Ради, якщо інше не передбачено її рішенням.</w:t>
      </w:r>
    </w:p>
    <w:p w14:paraId="610A1E3B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4" w:name="n76"/>
      <w:bookmarkEnd w:id="64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12. Голова Ради:</w:t>
      </w:r>
    </w:p>
    <w:p w14:paraId="5C36A49C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5" w:name="n77"/>
      <w:bookmarkEnd w:id="65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організовує діяльність Ради;</w:t>
      </w:r>
    </w:p>
    <w:p w14:paraId="3755D315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6" w:name="n78"/>
      <w:bookmarkEnd w:id="66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ініціює проведення засідань Ради, керує їх підготовкою;</w:t>
      </w:r>
    </w:p>
    <w:p w14:paraId="728FA15F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7" w:name="n79"/>
      <w:bookmarkEnd w:id="67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головує на засіданнях Ради;</w:t>
      </w:r>
    </w:p>
    <w:p w14:paraId="0B2EA410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8" w:name="n80"/>
      <w:bookmarkEnd w:id="68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підписує протоколи засідань;</w:t>
      </w:r>
    </w:p>
    <w:p w14:paraId="1758B8AE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9" w:name="n81"/>
      <w:bookmarkEnd w:id="69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представляє Раду у відносинах з місцевими органами виконавчої влади, органами місцевого самоврядування, установами, підприємствами, організаціями незалежно від форми власності, засобами масової інформації тощо;</w:t>
      </w:r>
    </w:p>
    <w:p w14:paraId="41B1ADE6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0" w:name="n82"/>
      <w:bookmarkEnd w:id="7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здійснює інші повноваження, що належать до компетенції Ради.</w:t>
      </w:r>
    </w:p>
    <w:p w14:paraId="58691D5B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1" w:name="n83"/>
      <w:bookmarkEnd w:id="71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13. Заступник голови Ради:</w:t>
      </w:r>
    </w:p>
    <w:p w14:paraId="53980CDD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2" w:name="n84"/>
      <w:bookmarkEnd w:id="72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контролює виконання плану роботи Ради в межах повноважень;</w:t>
      </w:r>
    </w:p>
    <w:p w14:paraId="0B326E34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3" w:name="n85"/>
      <w:bookmarkEnd w:id="73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вносить пропозиції щодо утворення робочих груп та комісій;</w:t>
      </w:r>
    </w:p>
    <w:p w14:paraId="28BA744B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4" w:name="n86"/>
      <w:bookmarkEnd w:id="74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організовує вивчення та дослідження громадської думки;</w:t>
      </w:r>
    </w:p>
    <w:p w14:paraId="140C2BF4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5" w:name="n87"/>
      <w:bookmarkEnd w:id="75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 разі відсутності голови головує на засіданні Ради;</w:t>
      </w:r>
    </w:p>
    <w:p w14:paraId="31FEE6CA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6" w:name="n88"/>
      <w:bookmarkEnd w:id="76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виконує інші повноваження, що належать до компетенції Ради.</w:t>
      </w:r>
    </w:p>
    <w:p w14:paraId="1AE8A13C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7" w:name="n89"/>
      <w:bookmarkEnd w:id="77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14. Секретар Ради обирається з числа членів Ради на її засіданні. Секретар відповідає за організаційне забезпечення та інформаційну підтримку діяльності Ради, зокрема:</w:t>
      </w:r>
    </w:p>
    <w:p w14:paraId="697E4A12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8" w:name="n90"/>
      <w:bookmarkEnd w:id="78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інформує членів Ради про дату, місце і час засідань;</w:t>
      </w:r>
    </w:p>
    <w:p w14:paraId="2CEC7520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9" w:name="n91"/>
      <w:bookmarkEnd w:id="79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забезпечує ведення та збереження документації;</w:t>
      </w:r>
    </w:p>
    <w:p w14:paraId="06560546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0" w:name="n92"/>
      <w:bookmarkEnd w:id="8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веде та підписує протоколи засідань;</w:t>
      </w:r>
    </w:p>
    <w:p w14:paraId="2D150E32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1" w:name="n93"/>
      <w:bookmarkEnd w:id="81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готує та розсилає за належністю документи;</w:t>
      </w:r>
    </w:p>
    <w:p w14:paraId="1BCE5DBF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2" w:name="n94"/>
      <w:bookmarkEnd w:id="82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виконує інші повноваження щодо представництва та організації діяльності Ради.</w:t>
      </w:r>
    </w:p>
    <w:p w14:paraId="56EF2A19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3" w:name="n95"/>
      <w:bookmarkEnd w:id="83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15. Члени Ради виконують свої обов’язки на громадських засадах.</w:t>
      </w:r>
    </w:p>
    <w:p w14:paraId="302EE663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4" w:name="n96"/>
      <w:bookmarkEnd w:id="84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Члени Ради мають право:</w:t>
      </w:r>
    </w:p>
    <w:p w14:paraId="12492D9F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5" w:name="n97"/>
      <w:bookmarkEnd w:id="85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ознайомлюватися з матеріалами і документами до засідання;</w:t>
      </w:r>
    </w:p>
    <w:p w14:paraId="1C67F572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6" w:name="n98"/>
      <w:bookmarkEnd w:id="86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ініціювати розгляд питань на чергових та позачергових засіданнях;</w:t>
      </w:r>
    </w:p>
    <w:p w14:paraId="5B3FD13B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7" w:name="n99"/>
      <w:bookmarkEnd w:id="87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брати участь у голосуванні;</w:t>
      </w:r>
    </w:p>
    <w:p w14:paraId="3A4AB4D4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8" w:name="n100"/>
      <w:bookmarkEnd w:id="88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вносити зміни до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проектів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пропозицій та рекомендацій;</w:t>
      </w:r>
    </w:p>
    <w:p w14:paraId="5F07EE2C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9" w:name="n101"/>
      <w:bookmarkEnd w:id="89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брати участь у роботі робочих груп, комісій;</w:t>
      </w:r>
    </w:p>
    <w:p w14:paraId="4E4900EC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90" w:name="n102"/>
      <w:bookmarkEnd w:id="9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достроково припинити свої повноваження, звернувшись з відповідною заявою до голови Ради.</w:t>
      </w:r>
    </w:p>
    <w:p w14:paraId="61B55000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91" w:name="n103"/>
      <w:bookmarkEnd w:id="91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Члени Ради мають право доступу в установленому порядку до приміщень, в яких розміщений орган, при якому утворено Раду, а також право участі в засіданнях даного органу із розгляду питань, що належать до компетенції Ради.</w:t>
      </w:r>
    </w:p>
    <w:p w14:paraId="03CAE9EB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92" w:name="n104"/>
      <w:bookmarkEnd w:id="92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16. Повноваження члена Ради припиняються достроково у порядку, визначеному цим Положенням:</w:t>
      </w:r>
    </w:p>
    <w:p w14:paraId="1A7C8EA7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93" w:name="n105"/>
      <w:bookmarkEnd w:id="93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 разі його відсутності на засіданнях без поважних причин двічі поспіль;</w:t>
      </w:r>
    </w:p>
    <w:p w14:paraId="37794B93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94" w:name="n106"/>
      <w:bookmarkEnd w:id="94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 письмовою заявою про рішення вийти з її складу;</w:t>
      </w:r>
    </w:p>
    <w:p w14:paraId="43551501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95" w:name="n107"/>
      <w:bookmarkEnd w:id="95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 разі скасування державної реєстрації громадського об’єднання, яке провадить діяльність у сфері забезпечення та захисту прав внутрішньо переміщених осіб;</w:t>
      </w:r>
    </w:p>
    <w:p w14:paraId="32138F98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96" w:name="n108"/>
      <w:bookmarkEnd w:id="96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у разі набрання законної сили обвинувальним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вироком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суду щодо члена Ради.</w:t>
      </w:r>
    </w:p>
    <w:p w14:paraId="337897F5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97" w:name="n109"/>
      <w:bookmarkEnd w:id="97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17. Рада провадить свою діяльність відповідно до затверджених нею планів роботи.</w:t>
      </w:r>
    </w:p>
    <w:p w14:paraId="346A4E66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98" w:name="n110"/>
      <w:bookmarkEnd w:id="98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18. Основною формою роботи Ради є засідання. Головуючим на засіданні є голова Ради, а в разі його відсутності - заступник.</w:t>
      </w:r>
    </w:p>
    <w:p w14:paraId="6D4E61F7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99" w:name="n111"/>
      <w:bookmarkEnd w:id="99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Пропозиції щодо розгляду питань на засіданні вносять голова Ради, заступник голови Ради, секретар та члени Ради.</w:t>
      </w:r>
    </w:p>
    <w:p w14:paraId="7311226F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00" w:name="n112"/>
      <w:bookmarkEnd w:id="10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Секретар Ради забезпечує підготовку матеріалів для розгляду на засіданні.</w:t>
      </w:r>
    </w:p>
    <w:p w14:paraId="7362F721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01" w:name="n113"/>
      <w:bookmarkEnd w:id="101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Засідання Ради вважається правоможним, якщо на ньому присутні більш як половина її членів.</w:t>
      </w:r>
    </w:p>
    <w:p w14:paraId="36AFA21A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02" w:name="n114"/>
      <w:bookmarkEnd w:id="102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Голова Ради може прийняти рішення про проведення засідання у режимі реального часу з використанням відповідних технічних засобів, зокрема через Інтернет, або про участь члена Ради у засіданні в такому режимі.</w:t>
      </w:r>
    </w:p>
    <w:p w14:paraId="0AEA95B1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03" w:name="n115"/>
      <w:bookmarkEnd w:id="103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19. За запрошенням голови Ради у засіданнях можуть брати участь інші особи.</w:t>
      </w:r>
    </w:p>
    <w:p w14:paraId="647D5D66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04" w:name="n116"/>
      <w:bookmarkEnd w:id="104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20. Засідання можуть бути чергові (проводяться не рідше одного разу на квартал) та позачергові (скликаються головою Ради на вимогу не менше однієї третини від загальної кількості членів Ради).</w:t>
      </w:r>
    </w:p>
    <w:p w14:paraId="3874F170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05" w:name="n117"/>
      <w:bookmarkEnd w:id="105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Повідомлення про скликання засідання Ради, зокрема позачергового, доводяться до відома кожного її члена не пізніше ніж за п’ять робочих днів до початку засідання, а також оприлюднюються на відповідному офіційному веб-сайті органу, при якому утворена Рада.</w:t>
      </w:r>
    </w:p>
    <w:p w14:paraId="795F384A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06" w:name="n118"/>
      <w:bookmarkEnd w:id="106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21. На своїх засіданнях Рада розглядає запропоновані членами Ради, органами місцевого самоврядування, підприємствами, установами та організаціями незалежно від форми власності, представниками міжнародних і наукових організацій, громадських об’єднань, фізичними та юридичними особами тощо пропозиції та рекомендації з питань, що належать до її компетенції.</w:t>
      </w:r>
    </w:p>
    <w:p w14:paraId="54FF7095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07" w:name="n119"/>
      <w:bookmarkEnd w:id="107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 результатами розгляду пропозиції та рекомендації можуть бути схвалені Радою. Пропозиції та рекомендації вважаються схваленими, якщо за них проголосувала більше ніж половина членів Ради, присутніх на її засіданні.</w:t>
      </w:r>
    </w:p>
    <w:p w14:paraId="668EEE27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08" w:name="n120"/>
      <w:bookmarkEnd w:id="108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 разі рівного розподілу голосів вирішальним є голос головуючого на засіданні.</w:t>
      </w:r>
    </w:p>
    <w:p w14:paraId="145328D6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09" w:name="n121"/>
      <w:bookmarkEnd w:id="109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Пропозиції та рекомендації, схвалені Радою, фіксуються у протоколі, який підписується головуючим на засіданні та секретарем і протягом трьох робочих днів надсилається членам Ради  начальнику військової адміністрації для розгляду у десятиденний строк.</w:t>
      </w:r>
    </w:p>
    <w:p w14:paraId="555244FA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10" w:name="n122"/>
      <w:bookmarkEnd w:id="11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Член Ради, який не підтримує пропозиції (рекомендації), може викласти у письмовій формі свою окрему думку, що додається до протоколу засідання.</w:t>
      </w:r>
    </w:p>
    <w:p w14:paraId="502CFD3E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11" w:name="n123"/>
      <w:bookmarkEnd w:id="111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22. Орган, при якому утворюється Рада, здійснює організаційне, інформаційне, матеріально-технічне забезпечення діяльності Ради.</w:t>
      </w:r>
    </w:p>
    <w:p w14:paraId="68FC05DE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12" w:name="n124"/>
      <w:bookmarkEnd w:id="112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23. Рада в обов’язковому порядку інформує орган, при якому вона утворена, та громадськість про свою роботу шляхом розміщення на офіційному веб-сайті та оприлюднення в інший прийнятний спосіб регламенту, плану роботи, протоколів засідань щодо схвалених пропозицій та рекомендацій, інформації про їх виконання, щорічних звітів про діяльність тощо, а також інформації про керівний склад, склад робочих груп, комісій із зазначенням контактних даних Ради (телефону, адреси для листування, електронної пошти тощо) для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комунікації з питань, що належать до її компетенції.</w:t>
      </w:r>
    </w:p>
    <w:p w14:paraId="277A0764" w14:textId="77777777" w:rsidR="00D966A4" w:rsidRDefault="00721DE1">
      <w:pPr>
        <w:shd w:val="clear" w:color="auto" w:fill="FFFFFF"/>
        <w:spacing w:after="150" w:line="240" w:lineRule="auto"/>
        <w:ind w:firstLine="450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bookmarkStart w:id="113" w:name="n125"/>
      <w:bookmarkEnd w:id="113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24. Пропозиції та рекомендації Ради можуть бути реалізовані шляхом подання схвалених пропозицій та рекомендацій до сільської військової адміністрації.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uk-UA"/>
        </w:rPr>
        <mc:AlternateContent>
          <mc:Choice Requires="wps">
            <w:drawing>
              <wp:inline distT="0" distB="0" distL="0" distR="0" wp14:anchorId="0F7A56D5" wp14:editId="6361D223">
                <wp:extent cx="6120765" cy="635"/>
                <wp:effectExtent l="0" t="0" r="0" b="95250"/>
                <wp:docPr id="1" name="Фі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46996411" id="Фігура1" o:spid="_x0000_s1026" style="width:481.9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" fillcolor="black" stroked="f" strokeweight="0">
                <w10:anchorlock/>
              </v:rect>
            </w:pict>
          </mc:Fallback>
        </mc:AlternateContent>
      </w:r>
    </w:p>
    <w:sectPr w:rsidR="00D966A4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A4"/>
    <w:rsid w:val="00281AC7"/>
    <w:rsid w:val="002A7821"/>
    <w:rsid w:val="00721DE1"/>
    <w:rsid w:val="00D9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D6CBB"/>
  <w15:docId w15:val="{3AE49E60-AD25-418E-A25A-BF133DFD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446B06"/>
    <w:rPr>
      <w:rFonts w:ascii="Segoe UI" w:hAnsi="Segoe UI" w:cs="Segoe UI"/>
      <w:sz w:val="18"/>
      <w:szCs w:val="18"/>
    </w:rPr>
  </w:style>
  <w:style w:type="character" w:styleId="a5">
    <w:name w:val="Hyperlink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446B06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54&#1082;/96-&#1074;&#1088;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10738</Words>
  <Characters>6122</Characters>
  <Application>Microsoft Office Word</Application>
  <DocSecurity>0</DocSecurity>
  <Lines>51</Lines>
  <Paragraphs>33</Paragraphs>
  <ScaleCrop>false</ScaleCrop>
  <Company/>
  <LinksUpToDate>false</LinksUpToDate>
  <CharactersWithSpaces>16827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dc:description/>
  <cp:lastModifiedBy>Олександр Мошнягул</cp:lastModifiedBy>
  <cp:revision>2</cp:revision>
  <cp:lastPrinted>2025-01-06T14:37:00Z</cp:lastPrinted>
  <dcterms:created xsi:type="dcterms:W3CDTF">2026-01-23T07:55:00Z</dcterms:created>
  <dcterms:modified xsi:type="dcterms:W3CDTF">2026-01-23T07:55:00Z</dcterms:modified>
  <dc:language>uk-UA</dc:language>
</cp:coreProperties>
</file>