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Здолбунівської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09 серпня 2023 року № 1762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Раду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внутрішньо переміщених осіб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Здолбунівській міській раді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І. Загальні положення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питань внутрішньо переміщених осіб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– Рада) утворюється при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постійний консультативно-дорадчий орган.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Рада у своїй діяльності керується Конституцією та законами України, указами Президента України, постановами Верховної Ради України, актами Кабінету Міністрів України, міністерств, актами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Керівними принципами ООН з питань внутрішнього переміщення, цим Положенням та іншими нормативно-правовими актами у сфері захисту прав внутрішньо переміщених осі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- ВПО) та цивільного населення, яке постраждало від збройної агресії Російської Федерації (далі - РФ)  проти України, та 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її створення.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Діяльність Ради ґрунтується на принципах верховенства права, законності, гласності, прозорості, колегіальності, народовладдя, підзвітності і відповідальності перед громадами,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рівності.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Рада не бере участь у діяльності політичних партій та релігійних об’єднань.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Завдання Ради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Основними завданнями Ради є: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2.1.1. Сприяння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реалізації громадянських та політичних прав внутрішньо переміщених осіб, у тому числі прав на самостійне вирішення питань місцевого значення в межах Конституції і законів України, участь в управлінні справами, включно з процесом розроблення, видання локальних нормативних актів, а також контроль за їх виконанням.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2.1.2. Організаційна, методична, консультативна підтримка суб’єктам господарювання, які у зв’язку зі збройною агресією РФ проти України, в установленому Законом порядку, перемістилися на територію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перемістили свої виробничі потужності, працівників та інші активи; надання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Здолбунівській міській раді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пропозицій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рекомендацій щодо створення місцевих програм підтримки внутрішньо переміщеного бізнесу.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2.1.3. Сприяння залученню внутрішньо переміщених осіб та інших осіб, які постраждали від військової агресії РФ проти України до вирішення місцевих питань, зокрема, шляхом залучення членів Ради до участі у робочих групах, комісіях тощо до розробки та виконання місцевих програм у сфері захисту прав ВПО та розбудови миру, у сфері соціального захисту, зайнятості населення, забезпечення житлових, майнових та політичних прав тощо.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2.1.4. Сприяння реалізації Керівних принципів ООН з питань внутрішнього переміщення, а саме щодо забезпечення прав внутрішньо переміщених осіб на свободу зборів, участі на рівних засадах у справах громади, а також пошуку довготривалих рішень.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2.1.5. Налагодження та сприяння співпраці військових адміністрацій, місцевих державних адміністрацій, органів місцевого самоврядування, представників громадських організацій та їх об’єднань, міжнародних та наукових організацій, засобів масової інформації, інших інститутів громадянського суспільства з питань реалізації державної політики у сфері захисту прав ВПО.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2.1.6. Сприяння залученню вразливих груп з-поміж ВПО та інших осіб, які постраждало внаслідок військової агресії РФ проти України (жінок, національних меншин, осіб з інвалідністю тощо), до процесу ухвалення рішень.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2.1.7. Сприяння в застосуванні принципів конфліктної та ґендерної чутливості в процесі розробки та реалізації політик на регіональному та місцевому рівнях задля розвитку соціальної згуртованості, зменшення напруги та ризиків виникнення конфліктів між приймаючою громадою та внутрішньо переміщеними особами.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ІІІ. Повноваження Ради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Рада відповідно до покладених на неї завдань: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 Розглядає будь-які питання, що мають важливе суспільне значення і належать до сфери захисту прав ВПО та інших осіб,  які постраждали внаслідок військової агресії РФ проти України.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3.1.2. Бере участь у розробці місцевих програм підтримки внутрішньо переміщеного бізнесу або розробляє їх самостійно та пропонує до розгляду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3.1.3. Не рідше ніж раз на рік готує та подає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орієнтовний план своєї діяльності та власні пропозиції.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3.1.4. Проводить аналіз ефективності реалізації місцевої політики у сфері захисту прав ВПО, у тому числі шляхом проведення громадського моніторингу.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3.1.5. Готує та подає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обов’язкові для їх розгляду пропозиції, висновки, аналітичні матеріали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актів щодо розв'язання питань у сфері захисту прав ВПО та цивільного населення, яке постраждало внаслідок військової агресії РФ проти України.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3.1.6. В рамках чинного законодавства інформує громадськість про свою діяльність, ухвалені рішення та стан їх виконання.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3.1.7. Не рідше ніж раз на рік готує звіт про свою діяльність.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3.1.8. Співпрацює з благодійними та громадськими організаціями щодо захисту прав внутрішньо переміщених осіб та розбудови миру.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3.1.9. Розглядає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актів та вносить свої пропозиції, що стосуються захисту прав ВПО та цивільного населення, яке постраждало внаслідок військової агресії РФ проти України.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3.1.10. Сприяє залученню фінансування на виконання програм та заходів, що стосуються питань ВПО  та населення, яке постраждало внаслідок військової агресії РФ проти України.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3.1.11. Підтримує та організовує заходи, спрямовані на виконання завдань Ради (семінари, конференції, засідання, круглі столи тощо).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Рада має право: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3.2.1. Створювати постійні та тимчасові робочі органи (комісії, експертні та робочі групи тощо).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3.2.2. Організовувати і проводити публічні заходи (семінари, конференції, засідання, круглі столи тощо).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3.2.3. Розглядати пропозиції інститутів громадянського суспільства та звернення громадян з питань, що належать до її компетенції.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3.2.4. Отримувати 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Здолбунівської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актів з питань, що потребують проведення консультацій із громадськістю.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3.2.5. Члени Ради мають право доступу в установленому порядку до приміщень, в яких розміщена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Здолбунівська міська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також право участі в їх засіданнях та засіданнях їхніх органів з розгляду питань, що належать до компетенції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ІV. Склад та формування Ради</w:t>
      </w:r>
    </w:p>
    <w:p w:rsidR="00AF12A9" w:rsidRPr="004754F0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</w:rPr>
        <w:t>Склад Ради та зміни до неї затверджується рішенням Здолбунівської міської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Кількісний склад Ради не може становити більше 35 осіб.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Строк повноважень складу Ради становить два роки з дня затвердження  </w:t>
      </w:r>
      <w:r>
        <w:rPr>
          <w:rFonts w:ascii="Times New Roman" w:eastAsia="Times New Roman" w:hAnsi="Times New Roman" w:cs="Times New Roman"/>
          <w:sz w:val="28"/>
          <w:szCs w:val="28"/>
        </w:rPr>
        <w:t>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4.4. Членство в Раді є персональним. Склад Ради формується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̈ за будь-якою ознакою, зокрема за ознакою раси, кольору шкіри, статі, мови,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релігіі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̈ або віросповідання, політичних чи інших переконань, національного, етнічного або соціального походження, правового або соціального статусу, віку, інвалідності,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майнового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стану, народження, або за будь-яким іншим критерієм.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Обрання членів Ради, їх повноваження,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припинення повноважень Ради та її членів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До складу Ради можуть входити громадяни України, яким виповнилось 18 років і які проживають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є внутрішньо переміщеними особами, що обліковані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 є постраждалими внаслідок військової агресії РФ проти України та є представниками суб’єктів господарювання, що перемістилися до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внаслідок військової агресії РФ проти України, та/або є представниками місцевих, регіональних, національних чи міжнародних організацій, які реалізують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сфері захисту прав ВПО та цивільного населення, яке постраждало внаслідок військової агресії РФ проти України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є посадовими особами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До заяви про обрання до складу Ради, яка складається у довільній формі, особа-кандидат долучає  такі документи: 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отиваційний лист кандидата;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езюме та автобіографія кандидата;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на обробку персональних даних;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атверджена керівником або іншою уповноваженою особою інформація за останні 6 місяців про діяльність інституту громадянського суспільства у відповідності до цільового спрямування діяльності Ради, який делегує свого представника до складу ради (для кандидатів від громадських та благодійних організацій);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ідомості з єдиного державного реєстру про зміну місцезнаходження суб’єкта господарювання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після 24.02.2022 року та документальне підтвердження сплати податків до бюджету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представників переміщеного бізнесу в Раді);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про делегування кандидата до складу Ради (для кандидатів від суб’єктів господарювання або громадських та благодійних організацій)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2A9" w:rsidRDefault="00AF12A9" w:rsidP="00AF12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 документи, які підтверджують відповідність кандидата до складу Ради критеріям, зазначеним в п. 5.1 цього Положення.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5.3. До складу Ради може бути обрано не більше одного представника від кожного інституту громадянського суспільства, що виявив бажання увійти до складу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Чисельність внутрішньо переміщених осіб у складі Ради становить не менше як 25 відсотків від кількісного складу членів Ради. 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Дострокове припинення діяльності Ради здійснюється відповідним органом, при якому вона утворена, у разі:</w:t>
      </w:r>
    </w:p>
    <w:p w:rsidR="00AF12A9" w:rsidRDefault="00AF12A9" w:rsidP="00AF1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 засідання Ради не проводяться протягом двох кварталів поспіль.  </w:t>
      </w:r>
    </w:p>
    <w:p w:rsidR="00AF12A9" w:rsidRDefault="00AF12A9" w:rsidP="00AF1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 Радою без об’єктивних причин більшості заходів, передбачених річним планом її роботи;</w:t>
      </w:r>
    </w:p>
    <w:p w:rsidR="00AF12A9" w:rsidRDefault="00AF12A9" w:rsidP="00AF1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ухвалення відповідного рішення на її засіданні;</w:t>
      </w:r>
    </w:p>
    <w:p w:rsidR="00AF12A9" w:rsidRDefault="00AF12A9" w:rsidP="00AF1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реорганізації або ліквідації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Рішення про дострокове припинення діяльності Ради оформляється відповідним 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Голова Ради:</w:t>
      </w:r>
    </w:p>
    <w:p w:rsidR="00AF12A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 планування роботи та діяльність  Ради;</w:t>
      </w:r>
    </w:p>
    <w:p w:rsidR="00AF12A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 підготовку і проведення її засідань, головує під час їх проведення;</w:t>
      </w:r>
    </w:p>
    <w:p w:rsidR="00AF12A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підписує документи від імені  Ради;</w:t>
      </w:r>
    </w:p>
    <w:p w:rsidR="00AF12A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звітує про діяльність Ради не рідше одного разу на рік;</w:t>
      </w:r>
    </w:p>
    <w:p w:rsidR="00AF12A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пропозиції щодо створення тимчасових органів Ради.</w:t>
      </w:r>
    </w:p>
    <w:p w:rsidR="00AF12A9" w:rsidRPr="001F79D9" w:rsidRDefault="00AF12A9" w:rsidP="00AF12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вирішує питання матеріально-технічного забезпечення роботи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5.8. Заступник голови Ради: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забезпечує виконання закріплених за ним напрямів роботи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 здійснює організаційно-методичну підтримку роботи відповідних комітетів (комісій, секцій, робочих груп)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контролює виконання плану роботи Ради в межах повноважень;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розглядає, за дорученням голови Ради, питання, що належать до їхньої компетенції;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організовує  вивчення та дослідження громадської думки;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виконує  інші функції відповідно до покладених на Раду завдань;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у разі відсутності голови на засіданні Ради, головує на її засіданні.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5.10. Секретар Ради: 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відповідно до затвердженого плану роботи забезпечує підготовку порядку денного засідань Ради з урахуванням пропозицій її членів;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забезпечує ведення протоколів засідання Ради, у п’ятиденний строк подає їх на підпис голови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контролює підготовку питань на засідання Ради відповідно до проекту порядку денного;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забезпечує оприлюднення рішень Ради та направлення їх на адресу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забезпечує контроль за виконанням рішень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опрацьовує внесені в установленому порядку пропозиції з вирішення кадрових питань, зокрема, щодо припинення членства у Раді;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за погодженням з головою Ради залучає до виконання окремих робіт і </w:t>
      </w:r>
      <w:r w:rsidRPr="008F4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 членів Ради та інших осіб;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забезпечує інформування про діяльність Ради, створює умови для доступу громадськості до інформації про діяльність Ради, виконання її рішень;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забезпечує ведення діловодства у Раді;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 забезпечує взаємодію та листування Ради з органами виконавчої влади і місцевого самоврядування, підприємствами, установами та організаціями;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11) вирішує питання інформаційного забезпечення роботи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12) виконує інші функції для забезпечення здійснення Радою своїх повноважень.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5.11. Пропозицію щодо припинення членства в Раді вносить голова Ради на розгляд міської ради у разі: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подання членом Ради відповідної заяви – з дня надходження відповідної заяви;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надходження від інституту громадянського суспільства за підписом керівника, якщо інше не передбачено його установчими документами, повідомлення про відкликання свого представника та припинення його членства в Раді – з дня надходження відповідного повідомлення;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державної реєстрації рішення про припинення інституту громадянського суспільства, представника якого обрано/призначено до складу Ради, – з дня внесення до Єдиного державного реєстру юридичних осіб, фізичних осіб – підприємців та громадських формувань відповідного запису;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державної реєстрації припинення юридичної особи або фізичної особи - підприємця, представника яких було обрано/призначено до складу Раду як представника переміщеного бізнесу;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набрання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члена Ради, а також у разі визнання його в судовому порядку недієздатним або обмежено дієздатним – з дня набрання законної сили рішенням суду;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у разі надання членом Ради завідомо недостовірної інформації про себе, встановлення обставин, що свідчать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 Ради чи здійснення ним дій, що суперечать меті створення Ради;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смерті члена Ради – з дня смерті, засвідченої свідоцтвом про смерть.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VІ. Організація роботи Ради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before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Основною формою роботи Ради є засідання, що проводяться у разі потреби, але не рідше одного разу на квартал.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 Засідання можуть проводитись у наступних форматах:</w:t>
      </w:r>
    </w:p>
    <w:p w:rsidR="00AF12A9" w:rsidRDefault="00AF12A9" w:rsidP="00A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засідання, які потребують фізичної присутності членів Ради та запрошених осіб, із дотриманням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протиепідеміологічних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заходів;</w:t>
      </w:r>
    </w:p>
    <w:p w:rsidR="00AF12A9" w:rsidRDefault="00AF12A9" w:rsidP="00A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онлайн засідання в режимі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відеоконференції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аудіоконференції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(дистанційне засідання);</w:t>
      </w:r>
    </w:p>
    <w:p w:rsidR="00AF12A9" w:rsidRDefault="00AF12A9" w:rsidP="00A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присутності частини членів Ради фізично, а частини – в  онлайн форматі.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Позачергові засідання Ради можуть скликатися за ініціативою голови Ради або однієї третини загального складу членів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Повідомлення про скликання засідання Ради, у тому числі позачергового, доводиться до відома кожного її члена не пізніше як за один робочий день до його початку, а також оприлюднюється на офіційному веб-сайті (розділі на 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Головуючим на засіданні Ради є голова Ради або за його відсутності заступник голови Ради, а в разі відсутності заступника голови Ради – член Ради, уповноважений Радою.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 Засідання Ради є правомочним, якщо на ньому присутні не менш як половина членів її загального складу. За неможливості проведення засідання Ради з причини відсутності кворуму, її засідання переноситься на триденний термін, про що повідомляються усі члени Ради. В такому випадку засідання Ради є правомірним при відсутності кворуму.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 Засідання Ради  проводяться відкрито.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6.8. Пропозиції щодо розгляду питань на засіданні Ради вносять голова Ради, заступник голови Ради та члени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6.9. Підготовку порядку денного засідання Ради з урахуванням пропозицій її членів та матеріалів для розгляду на засіданні забезпечує секретар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6.10. Рішення Ради ухвалюються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ухвалене.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6.11. Рішення, ухвалене на засіданні Ради, у п’ятиденний строк оформляється протоколом, який підписується головуючим на засіданні та секретарем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6.12. Член Ради, який не підтримує рішення, може викласти у письмовій формі свою окрему думку, що додається до протоколу засідання.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6.13. Рішення Ради мають рекомендаційний характер і є обов’язковими для розгляду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Здолбунівською 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6.14.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прийнятий за результатами розгляду пропозицій Ради, не пізніше ніж у десятиденний строк після ухвалення в обов’язковому порядку доводиться до відома членів Ради та громадськості шляхом оприлюднення на офіційному веб-сайті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(розділі на 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сторінці в соціальній мережі) або в інший прийнятний спосіб.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6.15. Інформація про ухвалене рішення повинна містити інформацію про врахування пропозицій Ради або причини їх відхилення.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6.16. На засіданні Ради, яке проводиться в I кварталі кожного року, обговорюється звіт про виконання плану її роботи за минулий рік, який схвалюється разом із підготовленим планом на поточний рік.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6.17. Річний план роботи Ради та звіт про його виконання оприлюднюються на офіційному веб-сайті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(розділі на 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сторінці в соціальній мережі) або в інший прийнятний спосіб.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6.18. Установчі документи, склад Ради, протоколи засідань, ухвалені рішення та інформація про хід їх виконання, а також інші відомості про діяльність Ради оприлюднюються  на офіційному веб-сайті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(розділі на сайті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сторінці в соціальній мережі) або в інший прийнятний спосіб.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6.19.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Здолбунівська міська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 організаційне, інформаційне та матеріально-технічне забезпечення діяльності Ради, створює належні умови для її роботи, у тому числі забезпечує Раду приміщенням, засобами зв’язку необхідними для проведення засідань та організації роботи Ради.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6.20. Рада має бланк зі своїм найменуванням.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6.21. Документи та рішення Ради є чинними за умови підписання їх головою Ради, або особою, яка виконує її повноваження, та секретарем Ради. </w:t>
      </w: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F12A9" w:rsidRDefault="00AF12A9" w:rsidP="00AF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395A" w:rsidRDefault="00AF12A9"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  <w:bookmarkStart w:id="1" w:name="_GoBack"/>
      <w:bookmarkEnd w:id="1"/>
    </w:p>
    <w:sectPr w:rsidR="00283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BF0"/>
    <w:multiLevelType w:val="multilevel"/>
    <w:tmpl w:val="DE0880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FE19EB"/>
    <w:multiLevelType w:val="multilevel"/>
    <w:tmpl w:val="090EB2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871AF7"/>
    <w:multiLevelType w:val="multilevel"/>
    <w:tmpl w:val="7242CB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834F09"/>
    <w:multiLevelType w:val="multilevel"/>
    <w:tmpl w:val="B84E0D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A9"/>
    <w:rsid w:val="0028395A"/>
    <w:rsid w:val="00A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48BEF-8EDE-40DB-92E5-D1D219A3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A9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14789</Characters>
  <Application>Microsoft Office Word</Application>
  <DocSecurity>0</DocSecurity>
  <Lines>211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1</cp:revision>
  <dcterms:created xsi:type="dcterms:W3CDTF">2024-09-26T05:56:00Z</dcterms:created>
  <dcterms:modified xsi:type="dcterms:W3CDTF">2024-09-26T05:57:00Z</dcterms:modified>
</cp:coreProperties>
</file>